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CF1133" w:rsidP="00CF1133">
      <w:pPr>
        <w:ind w:left="-710" w:firstLine="695"/>
        <w:rPr>
          <w:b/>
          <w:bCs/>
        </w:rPr>
      </w:pPr>
    </w:p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9F6978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>Growth Deal Management Board</w:t>
      </w:r>
    </w:p>
    <w:p w:rsidR="0034618B" w:rsidRDefault="0034618B" w:rsidP="0034618B">
      <w:r>
        <w:t>8 December 2015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B11C47">
        <w:rPr>
          <w:b/>
        </w:rPr>
        <w:t>No</w:t>
      </w:r>
    </w:p>
    <w:p w:rsidR="00BC4466" w:rsidRDefault="00BC4466" w:rsidP="00CF1133">
      <w:pPr>
        <w:spacing w:after="0" w:line="256" w:lineRule="auto"/>
        <w:ind w:left="0" w:firstLine="0"/>
      </w:pPr>
    </w:p>
    <w:p w:rsidR="00F17006" w:rsidRDefault="00F17006" w:rsidP="00CF1133">
      <w:pPr>
        <w:spacing w:after="0" w:line="256" w:lineRule="auto"/>
        <w:ind w:left="0" w:firstLine="0"/>
      </w:pPr>
    </w:p>
    <w:p w:rsidR="00F17006" w:rsidRPr="00F17006" w:rsidRDefault="00F17006" w:rsidP="00F17006">
      <w:pPr>
        <w:spacing w:after="0" w:line="256" w:lineRule="auto"/>
        <w:ind w:left="0" w:firstLine="0"/>
        <w:rPr>
          <w:b/>
        </w:rPr>
      </w:pPr>
      <w:bookmarkStart w:id="0" w:name="_GoBack"/>
      <w:r w:rsidRPr="00F17006">
        <w:rPr>
          <w:b/>
        </w:rPr>
        <w:t xml:space="preserve">Growth Deal – Final Investment Approvals  </w:t>
      </w:r>
    </w:p>
    <w:p w:rsidR="00F17006" w:rsidRPr="00F17006" w:rsidRDefault="00F17006" w:rsidP="00F17006">
      <w:pPr>
        <w:spacing w:after="0" w:line="256" w:lineRule="auto"/>
        <w:ind w:left="0" w:firstLine="0"/>
        <w:rPr>
          <w:b/>
        </w:rPr>
      </w:pPr>
      <w:r w:rsidRPr="00F17006">
        <w:rPr>
          <w:b/>
        </w:rPr>
        <w:t>(GF01-22-CD,   GF01-09, GF01-05-CD)</w:t>
      </w:r>
    </w:p>
    <w:bookmarkEnd w:id="0"/>
    <w:p w:rsidR="00F17006" w:rsidRDefault="00F17006" w:rsidP="00A3358A"/>
    <w:p w:rsidR="003E5D24" w:rsidRPr="001B07E5" w:rsidRDefault="00F41096" w:rsidP="003E5D24">
      <w:pPr>
        <w:ind w:right="-873"/>
        <w:rPr>
          <w:color w:val="auto"/>
          <w:u w:val="single"/>
        </w:rPr>
      </w:pPr>
      <w:r w:rsidRPr="00F41096">
        <w:rPr>
          <w:b/>
        </w:rPr>
        <w:t xml:space="preserve">Report Author: </w:t>
      </w:r>
      <w:r w:rsidR="003E5D24">
        <w:rPr>
          <w:b/>
        </w:rPr>
        <w:tab/>
      </w:r>
      <w:r w:rsidR="003E5D24" w:rsidRPr="00914B98">
        <w:rPr>
          <w:color w:val="auto"/>
        </w:rPr>
        <w:t>Alison Moore, Programme Office, Lancashire County Council,</w:t>
      </w:r>
    </w:p>
    <w:p w:rsidR="003E5D24" w:rsidRPr="00914B98" w:rsidRDefault="003E5D24" w:rsidP="003E5D24">
      <w:pPr>
        <w:ind w:left="1982" w:right="-873" w:firstLine="0"/>
        <w:rPr>
          <w:rStyle w:val="Hyperlink"/>
          <w:color w:val="auto"/>
        </w:rPr>
      </w:pPr>
      <w:r w:rsidRPr="00914B98">
        <w:rPr>
          <w:color w:val="auto"/>
        </w:rPr>
        <w:t xml:space="preserve"> </w:t>
      </w:r>
      <w:r w:rsidRPr="00914B98">
        <w:rPr>
          <w:color w:val="auto"/>
        </w:rPr>
        <w:tab/>
      </w:r>
      <w:hyperlink r:id="rId8" w:history="1">
        <w:r w:rsidRPr="00914B98">
          <w:rPr>
            <w:rStyle w:val="Hyperlink"/>
            <w:color w:val="auto"/>
          </w:rPr>
          <w:t>Growthdeal@lancashire.gov.uk</w:t>
        </w:r>
      </w:hyperlink>
    </w:p>
    <w:p w:rsidR="00CF1133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A3358A" w:rsidRDefault="00A3358A" w:rsidP="00A3358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</w:p>
    <w:p w:rsidR="00A3358A" w:rsidRPr="00A3358A" w:rsidRDefault="00A3358A" w:rsidP="00A3358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Times New Roman"/>
          <w:b/>
          <w:color w:val="auto"/>
          <w:szCs w:val="20"/>
        </w:rPr>
      </w:pPr>
      <w:r w:rsidRPr="00A3358A">
        <w:rPr>
          <w:rFonts w:ascii="Arial" w:hAnsi="Arial"/>
          <w:b/>
          <w:color w:val="auto"/>
        </w:rPr>
        <w:t>Executive Summary</w:t>
      </w:r>
    </w:p>
    <w:p w:rsidR="00A3358A" w:rsidRDefault="00A3358A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3358A" w:rsidRDefault="009F6978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>This report sets out the updated position in respect to the three projects that received conditional final investment approval from the LEP Board on 6 October 2015.</w:t>
      </w:r>
    </w:p>
    <w:p w:rsidR="00A3358A" w:rsidRDefault="00A3358A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3358A" w:rsidRPr="00A3358A" w:rsidRDefault="00A3358A" w:rsidP="00A3358A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  <w:r w:rsidRPr="00A3358A">
        <w:rPr>
          <w:rFonts w:ascii="Arial" w:hAnsi="Arial"/>
          <w:b/>
          <w:color w:val="auto"/>
        </w:rPr>
        <w:t>Recommendation</w:t>
      </w:r>
    </w:p>
    <w:p w:rsidR="00A3358A" w:rsidRDefault="00A3358A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58A" w:rsidRDefault="009F6978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>The Board are inv</w:t>
      </w:r>
      <w:r w:rsidR="0078467C">
        <w:t>ited to receive and note the update.</w:t>
      </w:r>
    </w:p>
    <w:p w:rsidR="00A3358A" w:rsidRDefault="00A3358A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7006" w:rsidRDefault="00F17006" w:rsidP="00CF1133">
      <w:pPr>
        <w:spacing w:after="0" w:line="256" w:lineRule="auto"/>
        <w:ind w:left="0" w:firstLine="0"/>
      </w:pPr>
    </w:p>
    <w:p w:rsidR="0034618B" w:rsidRDefault="00A3358A" w:rsidP="00A3358A">
      <w:pPr>
        <w:rPr>
          <w:b/>
        </w:rPr>
      </w:pPr>
      <w:r>
        <w:rPr>
          <w:b/>
        </w:rPr>
        <w:t xml:space="preserve">Background and Advice </w:t>
      </w:r>
    </w:p>
    <w:p w:rsidR="0034618B" w:rsidRDefault="0034618B" w:rsidP="00A3358A">
      <w:pPr>
        <w:rPr>
          <w:b/>
        </w:rPr>
      </w:pPr>
    </w:p>
    <w:p w:rsidR="003E5D24" w:rsidRDefault="003E5D24" w:rsidP="0034618B">
      <w:pPr>
        <w:ind w:left="0" w:firstLine="0"/>
      </w:pPr>
      <w:r w:rsidRPr="00401A19">
        <w:t>At the meeting of the Growth Deal Management Board held on 21 October 2015 a report was presented in respect to three final investment decisions made by</w:t>
      </w:r>
      <w:r w:rsidR="0034618B">
        <w:t xml:space="preserve"> </w:t>
      </w:r>
      <w:r w:rsidRPr="00401A19">
        <w:t>Lancash</w:t>
      </w:r>
      <w:r w:rsidR="00401A19">
        <w:t>ire Enterprise Partnership on 6 October 2015 in respect to the following Growth Deal projects:</w:t>
      </w:r>
    </w:p>
    <w:p w:rsidR="00401A19" w:rsidRDefault="00401A19" w:rsidP="00A3358A"/>
    <w:p w:rsidR="00401A19" w:rsidRPr="00401A19" w:rsidRDefault="00401A19" w:rsidP="00401A19">
      <w:pPr>
        <w:ind w:left="0" w:firstLine="0"/>
      </w:pPr>
      <w:r w:rsidRPr="00401A19">
        <w:rPr>
          <w:bCs/>
        </w:rPr>
        <w:t xml:space="preserve">GF01-22-CD </w:t>
      </w:r>
      <w:r w:rsidRPr="00401A19">
        <w:rPr>
          <w:bCs/>
        </w:rPr>
        <w:tab/>
      </w:r>
      <w:r w:rsidRPr="00401A19">
        <w:t>Broughton By-Pass</w:t>
      </w:r>
    </w:p>
    <w:p w:rsidR="00401A19" w:rsidRPr="00401A19" w:rsidRDefault="00401A19" w:rsidP="00401A19">
      <w:r w:rsidRPr="00401A19">
        <w:rPr>
          <w:bCs/>
        </w:rPr>
        <w:t>GF01-09</w:t>
      </w:r>
      <w:r w:rsidRPr="00401A19">
        <w:t xml:space="preserve"> </w:t>
      </w:r>
      <w:r w:rsidRPr="00401A19">
        <w:tab/>
      </w:r>
      <w:r w:rsidRPr="00401A19">
        <w:tab/>
        <w:t xml:space="preserve">Blackpool Integrated Traffic Management </w:t>
      </w:r>
    </w:p>
    <w:p w:rsidR="00401A19" w:rsidRPr="00401A19" w:rsidRDefault="00401A19" w:rsidP="00401A19">
      <w:r w:rsidRPr="00401A19">
        <w:rPr>
          <w:bCs/>
        </w:rPr>
        <w:t>GF01-05-CD</w:t>
      </w:r>
      <w:r w:rsidRPr="00401A19">
        <w:t xml:space="preserve">   </w:t>
      </w:r>
      <w:r w:rsidRPr="00401A19">
        <w:tab/>
        <w:t xml:space="preserve">Preston City Centre Improvements </w:t>
      </w:r>
    </w:p>
    <w:p w:rsidR="003E5D24" w:rsidRDefault="003E5D24" w:rsidP="00401A19">
      <w:pPr>
        <w:ind w:left="0" w:firstLine="0"/>
        <w:rPr>
          <w:b/>
        </w:rPr>
      </w:pPr>
    </w:p>
    <w:p w:rsidR="00401A19" w:rsidRDefault="00401A19" w:rsidP="00401A19">
      <w:pPr>
        <w:widowControl w:val="0"/>
        <w:tabs>
          <w:tab w:val="left" w:pos="567"/>
        </w:tabs>
        <w:wordWrap w:val="0"/>
        <w:autoSpaceDE w:val="0"/>
        <w:autoSpaceDN w:val="0"/>
        <w:spacing w:after="0" w:line="240" w:lineRule="auto"/>
        <w:rPr>
          <w:rStyle w:val="CharAttribute13"/>
        </w:rPr>
      </w:pPr>
      <w:r>
        <w:rPr>
          <w:rStyle w:val="CharAttribute13"/>
        </w:rPr>
        <w:t xml:space="preserve">In considering the report the Growth Deal Management Board resolved to: </w:t>
      </w:r>
    </w:p>
    <w:p w:rsidR="00401A19" w:rsidRDefault="00401A19" w:rsidP="00401A19">
      <w:pPr>
        <w:widowControl w:val="0"/>
        <w:tabs>
          <w:tab w:val="left" w:pos="567"/>
        </w:tabs>
        <w:wordWrap w:val="0"/>
        <w:autoSpaceDE w:val="0"/>
        <w:autoSpaceDN w:val="0"/>
        <w:spacing w:after="0" w:line="240" w:lineRule="auto"/>
        <w:rPr>
          <w:rStyle w:val="CharAttribute13"/>
        </w:rPr>
      </w:pPr>
    </w:p>
    <w:p w:rsidR="0034618B" w:rsidRDefault="003E5D24" w:rsidP="0034618B">
      <w:pPr>
        <w:widowControl w:val="0"/>
        <w:tabs>
          <w:tab w:val="left" w:pos="567"/>
        </w:tabs>
        <w:wordWrap w:val="0"/>
        <w:autoSpaceDE w:val="0"/>
        <w:autoSpaceDN w:val="0"/>
        <w:spacing w:after="0" w:line="240" w:lineRule="auto"/>
        <w:ind w:left="0" w:firstLine="0"/>
        <w:rPr>
          <w:rStyle w:val="CharAttribute13"/>
        </w:rPr>
      </w:pPr>
      <w:r>
        <w:rPr>
          <w:rStyle w:val="CharAttribute13"/>
        </w:rPr>
        <w:t xml:space="preserve">Note the decision made by the LEP Board that </w:t>
      </w:r>
      <w:r w:rsidR="00401A19">
        <w:rPr>
          <w:rStyle w:val="CharAttribute13"/>
        </w:rPr>
        <w:t>the GDMB be required to ensure</w:t>
      </w:r>
      <w:r>
        <w:rPr>
          <w:rStyle w:val="CharAttribute13"/>
        </w:rPr>
        <w:t xml:space="preserve"> that</w:t>
      </w:r>
      <w:r w:rsidRPr="00A370D0">
        <w:rPr>
          <w:rStyle w:val="CharAttribute13"/>
        </w:rPr>
        <w:t xml:space="preserve"> conditions </w:t>
      </w:r>
      <w:r>
        <w:rPr>
          <w:rStyle w:val="CharAttribute13"/>
        </w:rPr>
        <w:t xml:space="preserve">relating to the granting of full approval are fully met; </w:t>
      </w:r>
    </w:p>
    <w:p w:rsidR="0034618B" w:rsidRDefault="0034618B" w:rsidP="0034618B">
      <w:pPr>
        <w:widowControl w:val="0"/>
        <w:tabs>
          <w:tab w:val="left" w:pos="567"/>
        </w:tabs>
        <w:wordWrap w:val="0"/>
        <w:autoSpaceDE w:val="0"/>
        <w:autoSpaceDN w:val="0"/>
        <w:spacing w:after="0" w:line="240" w:lineRule="auto"/>
        <w:ind w:left="0" w:firstLine="0"/>
        <w:rPr>
          <w:rStyle w:val="CharAttribute13"/>
        </w:rPr>
      </w:pPr>
    </w:p>
    <w:p w:rsidR="003E5D24" w:rsidRPr="005C5A42" w:rsidRDefault="003E5D24" w:rsidP="0034618B">
      <w:pPr>
        <w:widowControl w:val="0"/>
        <w:tabs>
          <w:tab w:val="left" w:pos="567"/>
        </w:tabs>
        <w:wordWrap w:val="0"/>
        <w:autoSpaceDE w:val="0"/>
        <w:autoSpaceDN w:val="0"/>
        <w:spacing w:after="0" w:line="240" w:lineRule="auto"/>
        <w:ind w:left="0" w:firstLine="0"/>
        <w:rPr>
          <w:rStyle w:val="CharAttribute13"/>
        </w:rPr>
      </w:pPr>
      <w:r>
        <w:rPr>
          <w:rStyle w:val="CharAttribute13"/>
        </w:rPr>
        <w:t>Note the decision made by the LEP Board that the GDMB</w:t>
      </w:r>
      <w:r w:rsidRPr="00A370D0">
        <w:rPr>
          <w:rStyle w:val="CharAttribute13"/>
        </w:rPr>
        <w:t xml:space="preserve"> </w:t>
      </w:r>
      <w:r w:rsidR="0034618B">
        <w:rPr>
          <w:rStyle w:val="CharAttribute13"/>
        </w:rPr>
        <w:t xml:space="preserve">be required to ensure that </w:t>
      </w:r>
      <w:r>
        <w:rPr>
          <w:rStyle w:val="CharAttribute13"/>
        </w:rPr>
        <w:t>any actions</w:t>
      </w:r>
      <w:r w:rsidRPr="00A370D0">
        <w:rPr>
          <w:rStyle w:val="CharAttribute13"/>
        </w:rPr>
        <w:t xml:space="preserve"> advised by the independent </w:t>
      </w:r>
      <w:r>
        <w:rPr>
          <w:rStyle w:val="CharAttribute13"/>
        </w:rPr>
        <w:t xml:space="preserve">scheme </w:t>
      </w:r>
      <w:r w:rsidRPr="00A370D0">
        <w:rPr>
          <w:rStyle w:val="CharAttribute13"/>
        </w:rPr>
        <w:t>appraiser</w:t>
      </w:r>
      <w:r>
        <w:rPr>
          <w:rStyle w:val="CharAttribute13"/>
        </w:rPr>
        <w:t>s</w:t>
      </w:r>
      <w:r w:rsidRPr="00A370D0">
        <w:rPr>
          <w:rStyle w:val="CharAttribute13"/>
        </w:rPr>
        <w:t xml:space="preserve">, are discharged; </w:t>
      </w:r>
    </w:p>
    <w:p w:rsidR="009F6978" w:rsidRDefault="009F6978" w:rsidP="00401A19">
      <w:pPr>
        <w:ind w:left="0" w:firstLine="0"/>
        <w:rPr>
          <w:b/>
        </w:rPr>
      </w:pPr>
    </w:p>
    <w:p w:rsidR="00FB70E1" w:rsidRPr="00B770EE" w:rsidRDefault="00FB70E1" w:rsidP="00401A19">
      <w:pPr>
        <w:ind w:left="0" w:firstLine="0"/>
      </w:pPr>
      <w:r w:rsidRPr="00B770EE">
        <w:t>An update in respect to each is project is detailed below:</w:t>
      </w:r>
    </w:p>
    <w:p w:rsidR="00FB70E1" w:rsidRDefault="00FB70E1" w:rsidP="00401A19">
      <w:pPr>
        <w:ind w:left="0" w:firstLine="0"/>
        <w:rPr>
          <w:b/>
        </w:rPr>
      </w:pPr>
    </w:p>
    <w:p w:rsidR="00401A19" w:rsidRDefault="00401A19" w:rsidP="00401A19">
      <w:pPr>
        <w:ind w:left="0" w:firstLine="0"/>
        <w:rPr>
          <w:b/>
        </w:rPr>
      </w:pPr>
      <w:r w:rsidRPr="00703EC9">
        <w:rPr>
          <w:b/>
          <w:bCs/>
        </w:rPr>
        <w:lastRenderedPageBreak/>
        <w:t>GF01-22-CD</w:t>
      </w:r>
      <w:r w:rsidRPr="00703EC9">
        <w:rPr>
          <w:bCs/>
        </w:rPr>
        <w:t xml:space="preserve"> </w:t>
      </w:r>
      <w:r>
        <w:rPr>
          <w:b/>
        </w:rPr>
        <w:t>Broughton By-Pass</w:t>
      </w:r>
    </w:p>
    <w:p w:rsidR="009F6978" w:rsidRDefault="009F6978" w:rsidP="00401A19">
      <w:pPr>
        <w:ind w:left="0" w:firstLine="0"/>
        <w:rPr>
          <w:b/>
        </w:rPr>
      </w:pPr>
    </w:p>
    <w:p w:rsidR="0034618B" w:rsidRDefault="009F6978" w:rsidP="0034618B">
      <w:pPr>
        <w:ind w:left="0" w:firstLine="0"/>
      </w:pPr>
      <w:r w:rsidRPr="009F6978">
        <w:t>Position reported at GDMB meeting on 21 October 2015:</w:t>
      </w:r>
    </w:p>
    <w:p w:rsidR="0034618B" w:rsidRDefault="0034618B" w:rsidP="0034618B">
      <w:pPr>
        <w:ind w:left="0" w:firstLine="0"/>
      </w:pPr>
    </w:p>
    <w:p w:rsidR="0034618B" w:rsidRDefault="00401A19" w:rsidP="0034618B">
      <w:pPr>
        <w:ind w:left="0" w:firstLine="0"/>
        <w:rPr>
          <w:rStyle w:val="CharAttribute1"/>
        </w:rPr>
      </w:pPr>
      <w:r>
        <w:rPr>
          <w:rStyle w:val="CharAttribute1"/>
        </w:rPr>
        <w:t xml:space="preserve">In accordance with the LEP's Assurance Framework, business cases for schemes seeking over £5M LGF, are required to be </w:t>
      </w:r>
      <w:r w:rsidR="009605F3">
        <w:rPr>
          <w:rStyle w:val="CharAttribute1"/>
        </w:rPr>
        <w:t>published on the LEP for a six w</w:t>
      </w:r>
      <w:r>
        <w:rPr>
          <w:rStyle w:val="CharAttribute1"/>
        </w:rPr>
        <w:t>eek period. This period will end on the 30</w:t>
      </w:r>
      <w:r w:rsidRPr="00A309C9">
        <w:rPr>
          <w:rStyle w:val="CharAttribute1"/>
          <w:vertAlign w:val="superscript"/>
        </w:rPr>
        <w:t>th</w:t>
      </w:r>
      <w:r>
        <w:rPr>
          <w:rStyle w:val="CharAttribute1"/>
        </w:rPr>
        <w:t xml:space="preserve"> October, following which,   and subject</w:t>
      </w:r>
      <w:r w:rsidR="0034618B">
        <w:rPr>
          <w:rStyle w:val="CharAttribute1"/>
        </w:rPr>
        <w:t xml:space="preserve"> </w:t>
      </w:r>
      <w:r>
        <w:rPr>
          <w:rStyle w:val="CharAttribute1"/>
        </w:rPr>
        <w:t>to no material issues being raise</w:t>
      </w:r>
      <w:r w:rsidR="009605F3">
        <w:rPr>
          <w:rStyle w:val="CharAttribute1"/>
        </w:rPr>
        <w:t xml:space="preserve">d, the LEP Board approval can </w:t>
      </w:r>
      <w:r>
        <w:rPr>
          <w:rStyle w:val="CharAttribute1"/>
        </w:rPr>
        <w:t xml:space="preserve">be implemented. </w:t>
      </w:r>
    </w:p>
    <w:p w:rsidR="0034618B" w:rsidRDefault="0034618B" w:rsidP="0034618B">
      <w:pPr>
        <w:ind w:left="0" w:firstLine="0"/>
        <w:rPr>
          <w:rStyle w:val="CharAttribute1"/>
        </w:rPr>
      </w:pPr>
    </w:p>
    <w:p w:rsidR="00401A19" w:rsidRPr="00FB70E1" w:rsidRDefault="00401A19" w:rsidP="0034618B">
      <w:pPr>
        <w:ind w:left="0" w:firstLine="0"/>
      </w:pPr>
      <w:r>
        <w:rPr>
          <w:rStyle w:val="CharAttribute1"/>
        </w:rPr>
        <w:t>All comments lodged</w:t>
      </w:r>
      <w:r w:rsidR="00FB70E1">
        <w:rPr>
          <w:rStyle w:val="CharAttribute1"/>
        </w:rPr>
        <w:t xml:space="preserve"> will be forwarded to Atkins for </w:t>
      </w:r>
      <w:r>
        <w:rPr>
          <w:rStyle w:val="CharAttribute1"/>
        </w:rPr>
        <w:t>independent assessment as to whether they amount to a material</w:t>
      </w:r>
      <w:r w:rsidR="00FB70E1">
        <w:rPr>
          <w:rStyle w:val="CharAttribute1"/>
        </w:rPr>
        <w:t xml:space="preserve"> </w:t>
      </w:r>
      <w:r>
        <w:rPr>
          <w:rStyle w:val="CharAttribute1"/>
        </w:rPr>
        <w:t>consideration. Any comments that Atkins conclude are material will be brought to the GDMB to determine an appropriate course of action.</w:t>
      </w:r>
    </w:p>
    <w:p w:rsidR="00401A19" w:rsidRDefault="00401A19" w:rsidP="00A3358A">
      <w:pPr>
        <w:rPr>
          <w:b/>
        </w:rPr>
      </w:pPr>
    </w:p>
    <w:p w:rsidR="009605F3" w:rsidRPr="009F6978" w:rsidRDefault="009F6978" w:rsidP="00B11C47">
      <w:r w:rsidRPr="009F6978">
        <w:t>Update:</w:t>
      </w:r>
      <w:r w:rsidRPr="009F6978">
        <w:tab/>
      </w:r>
      <w:r w:rsidR="009605F3">
        <w:t>No comments were lodged on or before 30 October 2015.</w:t>
      </w:r>
    </w:p>
    <w:p w:rsidR="009F6978" w:rsidRDefault="009F6978" w:rsidP="00A3358A">
      <w:pPr>
        <w:rPr>
          <w:b/>
        </w:rPr>
      </w:pPr>
    </w:p>
    <w:p w:rsidR="00401A19" w:rsidRDefault="00401A19" w:rsidP="00A3358A">
      <w:pPr>
        <w:rPr>
          <w:b/>
        </w:rPr>
      </w:pPr>
      <w:r w:rsidRPr="000A1D51">
        <w:rPr>
          <w:b/>
          <w:bCs/>
        </w:rPr>
        <w:t>GF01-09</w:t>
      </w:r>
      <w:r>
        <w:t xml:space="preserve"> </w:t>
      </w:r>
      <w:r>
        <w:tab/>
      </w:r>
      <w:r>
        <w:rPr>
          <w:b/>
        </w:rPr>
        <w:t xml:space="preserve">Blackpool Integrated Traffic Management </w:t>
      </w:r>
    </w:p>
    <w:p w:rsidR="00401A19" w:rsidRDefault="00401A19" w:rsidP="00A3358A">
      <w:pPr>
        <w:rPr>
          <w:rStyle w:val="CharAttribute1"/>
        </w:rPr>
      </w:pPr>
    </w:p>
    <w:p w:rsidR="0034618B" w:rsidRDefault="009F6978" w:rsidP="0034618B">
      <w:pPr>
        <w:ind w:left="0" w:firstLine="0"/>
      </w:pPr>
      <w:r w:rsidRPr="009F6978">
        <w:t>Position reported at GDMB meeting on 21 October 2015:</w:t>
      </w:r>
    </w:p>
    <w:p w:rsidR="0034618B" w:rsidRDefault="0034618B" w:rsidP="0034618B">
      <w:pPr>
        <w:ind w:left="0" w:firstLine="0"/>
      </w:pPr>
    </w:p>
    <w:p w:rsidR="00401A19" w:rsidRDefault="00401A19" w:rsidP="0034618B">
      <w:pPr>
        <w:ind w:left="0" w:firstLine="0"/>
        <w:rPr>
          <w:b/>
        </w:rPr>
      </w:pPr>
      <w:r>
        <w:rPr>
          <w:rStyle w:val="CharAttribute1"/>
        </w:rPr>
        <w:t>The LEP Board agreed that a condition of Full App</w:t>
      </w:r>
      <w:r w:rsidR="00B11C47">
        <w:rPr>
          <w:rStyle w:val="CharAttribute1"/>
        </w:rPr>
        <w:t xml:space="preserve">roval being granted is that the </w:t>
      </w:r>
      <w:r>
        <w:rPr>
          <w:rStyle w:val="CharAttribute1"/>
        </w:rPr>
        <w:t>tender costs come back as expected. The GDMB are required to oversee the discharge of this condition and report back to the LEP Board if this condition is not met.</w:t>
      </w:r>
    </w:p>
    <w:p w:rsidR="00401A19" w:rsidRDefault="00401A19" w:rsidP="00A3358A">
      <w:pPr>
        <w:rPr>
          <w:b/>
        </w:rPr>
      </w:pPr>
    </w:p>
    <w:p w:rsidR="00A30419" w:rsidRDefault="009F6978" w:rsidP="00A30419">
      <w:pPr>
        <w:ind w:left="1440" w:hanging="1440"/>
      </w:pPr>
      <w:r w:rsidRPr="009F6978">
        <w:t>Update:</w:t>
      </w:r>
      <w:r w:rsidR="00B770EE">
        <w:tab/>
      </w:r>
      <w:r w:rsidR="0078467C">
        <w:t>The outcome of the tender exercise is not available at this stage</w:t>
      </w:r>
      <w:r w:rsidR="00B770EE">
        <w:t xml:space="preserve"> as the tender exercise is yet to conclude.</w:t>
      </w:r>
    </w:p>
    <w:p w:rsidR="00A30419" w:rsidRDefault="00A30419" w:rsidP="00A30419">
      <w:pPr>
        <w:ind w:left="1440" w:hanging="1440"/>
      </w:pPr>
    </w:p>
    <w:p w:rsidR="00A30419" w:rsidRDefault="00401A19" w:rsidP="00A30419">
      <w:pPr>
        <w:ind w:left="1440" w:hanging="1440"/>
        <w:rPr>
          <w:b/>
        </w:rPr>
      </w:pPr>
      <w:r w:rsidRPr="000A1D51">
        <w:rPr>
          <w:b/>
          <w:bCs/>
        </w:rPr>
        <w:t>GF01-05-CD</w:t>
      </w:r>
      <w:r w:rsidRPr="000A1D51">
        <w:t xml:space="preserve">  </w:t>
      </w:r>
      <w:r>
        <w:rPr>
          <w:b/>
        </w:rPr>
        <w:t xml:space="preserve"> Preston City Centre Improvements </w:t>
      </w:r>
    </w:p>
    <w:p w:rsidR="00A30419" w:rsidRDefault="00A30419" w:rsidP="00A30419">
      <w:pPr>
        <w:ind w:left="1440" w:hanging="1440"/>
        <w:rPr>
          <w:b/>
        </w:rPr>
      </w:pPr>
    </w:p>
    <w:p w:rsidR="00A30419" w:rsidRDefault="00401A19" w:rsidP="00A30419">
      <w:pPr>
        <w:ind w:left="0" w:firstLine="0"/>
      </w:pPr>
      <w:r>
        <w:rPr>
          <w:rStyle w:val="CharAttribute1"/>
        </w:rPr>
        <w:t xml:space="preserve">In </w:t>
      </w:r>
      <w:r w:rsidRPr="00A30419">
        <w:t>accordance with the LEP's Assurance Framework, business cases for schemes</w:t>
      </w:r>
      <w:r w:rsidR="00A30419">
        <w:t xml:space="preserve"> </w:t>
      </w:r>
      <w:r w:rsidRPr="00A30419">
        <w:t xml:space="preserve">seeking over £5M LGF, are required </w:t>
      </w:r>
      <w:r w:rsidR="009F6978" w:rsidRPr="00A30419">
        <w:t xml:space="preserve">to be published on the LEP for </w:t>
      </w:r>
      <w:r w:rsidRPr="00A30419">
        <w:t>a six week period. This period will end on the 13th</w:t>
      </w:r>
      <w:r w:rsidR="00B11C47" w:rsidRPr="00A30419">
        <w:t xml:space="preserve"> November, following which, </w:t>
      </w:r>
      <w:r w:rsidRPr="00A30419">
        <w:t xml:space="preserve">and subject to no material issues being raised, the LEP Board </w:t>
      </w:r>
      <w:r w:rsidR="00B11C47" w:rsidRPr="00A30419">
        <w:t>approval can   be implemented.</w:t>
      </w:r>
      <w:r w:rsidR="00A30419" w:rsidRPr="00A30419">
        <w:t xml:space="preserve"> </w:t>
      </w:r>
      <w:r w:rsidRPr="00A30419">
        <w:t>All comments lodged will be forwarde</w:t>
      </w:r>
      <w:r w:rsidR="00B11C47" w:rsidRPr="00A30419">
        <w:t xml:space="preserve">d to </w:t>
      </w:r>
      <w:proofErr w:type="spellStart"/>
      <w:r w:rsidR="00B11C47" w:rsidRPr="00A30419">
        <w:t>Regeneris</w:t>
      </w:r>
      <w:proofErr w:type="spellEnd"/>
      <w:r w:rsidR="00B11C47" w:rsidRPr="00A30419">
        <w:t xml:space="preserve"> for </w:t>
      </w:r>
      <w:r w:rsidRPr="00A30419">
        <w:t>independent assessment as to whethe</w:t>
      </w:r>
      <w:r w:rsidR="00B11C47" w:rsidRPr="00A30419">
        <w:t xml:space="preserve">r they amount to a material </w:t>
      </w:r>
      <w:r w:rsidRPr="00A30419">
        <w:t xml:space="preserve">consideration. Any comments that </w:t>
      </w:r>
      <w:proofErr w:type="spellStart"/>
      <w:r w:rsidRPr="00A30419">
        <w:t>Regeneris</w:t>
      </w:r>
      <w:proofErr w:type="spellEnd"/>
      <w:r w:rsidRPr="00A30419">
        <w:t xml:space="preserve"> conclude a</w:t>
      </w:r>
      <w:r w:rsidR="00B11C47" w:rsidRPr="00A30419">
        <w:t xml:space="preserve">re material will be </w:t>
      </w:r>
      <w:r w:rsidRPr="00A30419">
        <w:t>brought to the GDMB to determine an appropriate course of action.</w:t>
      </w:r>
    </w:p>
    <w:p w:rsidR="00A30419" w:rsidRDefault="00A30419"/>
    <w:p w:rsidR="009F6978" w:rsidRDefault="009F6978">
      <w:r>
        <w:t>Update:</w:t>
      </w:r>
      <w:r w:rsidR="0078467C">
        <w:tab/>
        <w:t>No comments were lodged on or before 13 November 2015</w:t>
      </w:r>
    </w:p>
    <w:sectPr w:rsidR="009F697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33" w:rsidRDefault="00CF1133" w:rsidP="00CF1133">
      <w:pPr>
        <w:spacing w:after="0" w:line="240" w:lineRule="auto"/>
      </w:pPr>
      <w:r>
        <w:separator/>
      </w:r>
    </w:p>
  </w:endnote>
  <w:end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33" w:rsidRDefault="00CF1133" w:rsidP="00CF1133">
      <w:pPr>
        <w:spacing w:after="0" w:line="240" w:lineRule="auto"/>
      </w:pPr>
      <w:r>
        <w:separator/>
      </w:r>
    </w:p>
  </w:footnote>
  <w:foot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57233DE"/>
    <w:multiLevelType w:val="hybridMultilevel"/>
    <w:tmpl w:val="32E86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4" w15:restartNumberingAfterBreak="0">
    <w:nsid w:val="5B953BA4"/>
    <w:multiLevelType w:val="hybridMultilevel"/>
    <w:tmpl w:val="9AB22F12"/>
    <w:lvl w:ilvl="0" w:tplc="52E8F1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119A3"/>
    <w:multiLevelType w:val="hybridMultilevel"/>
    <w:tmpl w:val="E76A9220"/>
    <w:lvl w:ilvl="0" w:tplc="20ACED7A">
      <w:start w:val="1"/>
      <w:numFmt w:val="lowerRoman"/>
      <w:lvlText w:val="(%1)"/>
      <w:lvlJc w:val="left"/>
      <w:pPr>
        <w:ind w:left="1080" w:hanging="720"/>
      </w:pPr>
      <w:rPr>
        <w:rFonts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94697"/>
    <w:rsid w:val="000D2752"/>
    <w:rsid w:val="00113335"/>
    <w:rsid w:val="00145322"/>
    <w:rsid w:val="00160621"/>
    <w:rsid w:val="001F5AEF"/>
    <w:rsid w:val="00284E9F"/>
    <w:rsid w:val="002B49F2"/>
    <w:rsid w:val="002E69BD"/>
    <w:rsid w:val="0034618B"/>
    <w:rsid w:val="0035233C"/>
    <w:rsid w:val="003B18C2"/>
    <w:rsid w:val="003E5D24"/>
    <w:rsid w:val="00401A19"/>
    <w:rsid w:val="004176B4"/>
    <w:rsid w:val="005206EF"/>
    <w:rsid w:val="005D7059"/>
    <w:rsid w:val="006C0636"/>
    <w:rsid w:val="00727978"/>
    <w:rsid w:val="0078467C"/>
    <w:rsid w:val="007A7CEE"/>
    <w:rsid w:val="007D5F5A"/>
    <w:rsid w:val="00870C84"/>
    <w:rsid w:val="008D7B94"/>
    <w:rsid w:val="009605F3"/>
    <w:rsid w:val="0096218F"/>
    <w:rsid w:val="009F6978"/>
    <w:rsid w:val="00A30419"/>
    <w:rsid w:val="00A3358A"/>
    <w:rsid w:val="00B11C47"/>
    <w:rsid w:val="00B13ACE"/>
    <w:rsid w:val="00B25A7B"/>
    <w:rsid w:val="00B439EA"/>
    <w:rsid w:val="00B770EE"/>
    <w:rsid w:val="00BC4466"/>
    <w:rsid w:val="00BE3AA8"/>
    <w:rsid w:val="00C52160"/>
    <w:rsid w:val="00CD3B45"/>
    <w:rsid w:val="00CF1133"/>
    <w:rsid w:val="00D7480F"/>
    <w:rsid w:val="00E60319"/>
    <w:rsid w:val="00F01FE2"/>
    <w:rsid w:val="00F17006"/>
    <w:rsid w:val="00F41096"/>
    <w:rsid w:val="00FB70E1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E5D24"/>
    <w:rPr>
      <w:color w:val="0563C1" w:themeColor="hyperlink"/>
      <w:u w:val="single"/>
    </w:rPr>
  </w:style>
  <w:style w:type="character" w:customStyle="1" w:styleId="CharAttribute13">
    <w:name w:val="CharAttribute13"/>
    <w:rsid w:val="003E5D24"/>
    <w:rPr>
      <w:rFonts w:ascii="Arial" w:eastAsia="Arial"/>
      <w:sz w:val="24"/>
    </w:rPr>
  </w:style>
  <w:style w:type="paragraph" w:customStyle="1" w:styleId="ParaAttribute19">
    <w:name w:val="ParaAttribute19"/>
    <w:rsid w:val="00401A19"/>
    <w:pPr>
      <w:wordWrap w:val="0"/>
      <w:spacing w:after="0" w:line="240" w:lineRule="auto"/>
      <w:ind w:left="720" w:hanging="720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1">
    <w:name w:val="CharAttribute1"/>
    <w:rsid w:val="00401A19"/>
    <w:rPr>
      <w:rFonts w:ascii="Arial" w:eastAsia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E1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customStyle="1" w:styleId="ParaAttribute4">
    <w:name w:val="ParaAttribute4"/>
    <w:rsid w:val="009F6978"/>
    <w:pPr>
      <w:widowControl w:val="0"/>
      <w:wordWrap w:val="0"/>
      <w:spacing w:after="5" w:line="240" w:lineRule="auto"/>
      <w:ind w:left="542" w:hanging="542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9">
    <w:name w:val="CharAttribute9"/>
    <w:rsid w:val="009F6978"/>
    <w:rPr>
      <w:rFonts w:ascii="Arial" w:eastAsia="Calibri"/>
      <w:b/>
      <w:color w:val="0000FF"/>
      <w:sz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wthdeal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0964D-CCF4-4B80-ABF0-695C9253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Neville, Mike</cp:lastModifiedBy>
  <cp:revision>12</cp:revision>
  <cp:lastPrinted>2015-10-28T09:58:00Z</cp:lastPrinted>
  <dcterms:created xsi:type="dcterms:W3CDTF">2015-06-25T10:41:00Z</dcterms:created>
  <dcterms:modified xsi:type="dcterms:W3CDTF">2015-12-01T10:04:00Z</dcterms:modified>
</cp:coreProperties>
</file>